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D87F" w14:textId="0DA7F689" w:rsidR="00286929" w:rsidRDefault="00286929" w:rsidP="0067372D">
      <w:pPr>
        <w:jc w:val="center"/>
        <w:rPr>
          <w:b/>
          <w:bCs/>
        </w:rPr>
      </w:pPr>
      <w:r>
        <w:rPr>
          <w:b/>
          <w:bCs/>
        </w:rPr>
        <w:t>TÁJÉKOZTATÁS</w:t>
      </w:r>
    </w:p>
    <w:p w14:paraId="439FEFEE" w14:textId="26A27788" w:rsidR="000760D6" w:rsidRDefault="0067372D" w:rsidP="0067372D">
      <w:pPr>
        <w:jc w:val="center"/>
        <w:rPr>
          <w:b/>
          <w:bCs/>
        </w:rPr>
      </w:pPr>
      <w:r w:rsidRPr="0067372D">
        <w:rPr>
          <w:b/>
          <w:bCs/>
        </w:rPr>
        <w:t xml:space="preserve">AZ </w:t>
      </w:r>
      <w:r w:rsidR="00DA1D6F" w:rsidRPr="0067372D">
        <w:rPr>
          <w:b/>
          <w:bCs/>
        </w:rPr>
        <w:t xml:space="preserve">INGYENES </w:t>
      </w:r>
      <w:r w:rsidRPr="0067372D">
        <w:rPr>
          <w:b/>
          <w:bCs/>
        </w:rPr>
        <w:t>ÉS KEDVEZMÉNYES GYERMEKÉTKEZTETÉS</w:t>
      </w:r>
      <w:r w:rsidR="00DA1D6F" w:rsidRPr="0067372D">
        <w:rPr>
          <w:b/>
          <w:bCs/>
        </w:rPr>
        <w:t xml:space="preserve"> </w:t>
      </w:r>
      <w:r w:rsidR="00286929">
        <w:rPr>
          <w:b/>
          <w:bCs/>
        </w:rPr>
        <w:t>SZABÁLYAIRÓL</w:t>
      </w:r>
    </w:p>
    <w:p w14:paraId="71E56A2B" w14:textId="77777777" w:rsidR="007B71AD" w:rsidRDefault="0067372D" w:rsidP="0064308E">
      <w:pPr>
        <w:spacing w:after="0"/>
        <w:jc w:val="both"/>
      </w:pPr>
      <w:r>
        <w:t>Tekintettel arra, hogy számtalan – részben megalapozatlan – szóbeszéd, álhír kering e témában városszerte, célszerűnek, és indokoltnak tartjuk a tárgyban egy átfogó tájékoztatás adását, ebben külön is kiemelve és részletezve a törvényi jogosultsági feltételeket, illetve Mohács Város Önkormányzata által a törvényi kedvezményeken felül nyújtott további támogatásokat.</w:t>
      </w:r>
      <w:r w:rsidR="007B71AD" w:rsidRPr="007B71AD">
        <w:t xml:space="preserve"> </w:t>
      </w:r>
    </w:p>
    <w:p w14:paraId="115228CC" w14:textId="77777777" w:rsidR="0064308E" w:rsidRDefault="0064308E" w:rsidP="007B71AD">
      <w:pPr>
        <w:spacing w:after="0"/>
        <w:ind w:firstLine="708"/>
        <w:jc w:val="both"/>
      </w:pPr>
    </w:p>
    <w:p w14:paraId="77CA3271" w14:textId="77777777" w:rsidR="0064308E" w:rsidRPr="0064308E" w:rsidRDefault="0064308E" w:rsidP="0064308E">
      <w:pPr>
        <w:pStyle w:val="Listaszerbekezds"/>
        <w:numPr>
          <w:ilvl w:val="0"/>
          <w:numId w:val="6"/>
        </w:numPr>
        <w:spacing w:after="0"/>
        <w:jc w:val="both"/>
        <w:rPr>
          <w:b/>
          <w:bCs/>
          <w:u w:val="single"/>
        </w:rPr>
      </w:pPr>
      <w:r w:rsidRPr="0064308E">
        <w:rPr>
          <w:b/>
          <w:bCs/>
          <w:u w:val="single"/>
        </w:rPr>
        <w:t>Ki köteles az intézményi gyermekétkeztetést biztosítani</w:t>
      </w:r>
    </w:p>
    <w:p w14:paraId="4B5F5BD9" w14:textId="77777777" w:rsidR="0064308E" w:rsidRDefault="0064308E" w:rsidP="007B71AD">
      <w:pPr>
        <w:spacing w:after="0"/>
        <w:ind w:firstLine="708"/>
        <w:jc w:val="both"/>
      </w:pPr>
    </w:p>
    <w:p w14:paraId="67929B11" w14:textId="2FF4ECDF" w:rsidR="007B71AD" w:rsidRDefault="007B71AD" w:rsidP="007B71AD">
      <w:pPr>
        <w:spacing w:after="0"/>
        <w:ind w:firstLine="708"/>
        <w:jc w:val="both"/>
      </w:pPr>
      <w:r>
        <w:t>Első körben azonban azt szükséges tisztázni, hogy ki köteles az intézményi gyermekétkeztetést biztosítani.</w:t>
      </w:r>
    </w:p>
    <w:p w14:paraId="46A53B96" w14:textId="4FC3B2EE" w:rsidR="007B71AD" w:rsidRDefault="00DA1D6F" w:rsidP="00673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hd w:val="clear" w:color="auto" w:fill="FFFFFF"/>
        </w:rPr>
      </w:pPr>
      <w:r w:rsidRPr="00DA1D6F">
        <w:rPr>
          <w:shd w:val="clear" w:color="auto" w:fill="FFFFFF"/>
        </w:rPr>
        <w:t xml:space="preserve">A gyermekek védelméről és a gyámügyi igazgatásról szóló 1997. évi XXXI. törvény </w:t>
      </w:r>
      <w:r w:rsidR="0067372D">
        <w:rPr>
          <w:shd w:val="clear" w:color="auto" w:fill="FFFFFF"/>
        </w:rPr>
        <w:t xml:space="preserve">– rövidített nevén: Gyvt. </w:t>
      </w:r>
      <w:r w:rsidR="007B71AD">
        <w:rPr>
          <w:shd w:val="clear" w:color="auto" w:fill="FFFFFF"/>
        </w:rPr>
        <w:t>–</w:t>
      </w:r>
      <w:r w:rsidR="0067372D">
        <w:rPr>
          <w:shd w:val="clear" w:color="auto" w:fill="FFFFFF"/>
        </w:rPr>
        <w:t xml:space="preserve"> </w:t>
      </w:r>
      <w:r w:rsidR="007B71AD">
        <w:rPr>
          <w:shd w:val="clear" w:color="auto" w:fill="FFFFFF"/>
        </w:rPr>
        <w:t>21/A.§ (3) bekezdésében az alábbiak szerint határozza meg a gyermekétkeztetés biztosítására kötelezettek körét:</w:t>
      </w:r>
    </w:p>
    <w:p w14:paraId="68759ECF" w14:textId="58F972E1" w:rsidR="007B71AD" w:rsidRPr="007B71AD" w:rsidRDefault="007B71AD" w:rsidP="007B71AD">
      <w:pPr>
        <w:shd w:val="clear" w:color="auto" w:fill="FFFFFF"/>
        <w:spacing w:after="0" w:line="240" w:lineRule="auto"/>
        <w:ind w:firstLine="238"/>
        <w:jc w:val="both"/>
        <w:rPr>
          <w:rFonts w:eastAsia="Times New Roman"/>
          <w:color w:val="000000"/>
          <w:lang w:eastAsia="hu-HU"/>
        </w:rPr>
      </w:pPr>
      <w:r w:rsidRPr="007B71AD">
        <w:rPr>
          <w:rFonts w:eastAsia="Times New Roman"/>
          <w:color w:val="000000"/>
          <w:lang w:eastAsia="hu-HU"/>
        </w:rPr>
        <w:t> A gyermekétkeztetést biztosítja</w:t>
      </w:r>
    </w:p>
    <w:p w14:paraId="035A6629" w14:textId="77777777" w:rsidR="007B71AD" w:rsidRPr="007B71AD" w:rsidRDefault="007B71AD" w:rsidP="007B71AD">
      <w:pPr>
        <w:shd w:val="clear" w:color="auto" w:fill="FFFFFF"/>
        <w:spacing w:after="0" w:line="240" w:lineRule="auto"/>
        <w:ind w:firstLine="238"/>
        <w:jc w:val="both"/>
        <w:rPr>
          <w:rFonts w:eastAsia="Times New Roman"/>
          <w:b/>
          <w:bCs/>
          <w:color w:val="000000"/>
          <w:lang w:eastAsia="hu-HU"/>
        </w:rPr>
      </w:pPr>
      <w:r w:rsidRPr="007B71AD">
        <w:rPr>
          <w:rFonts w:eastAsia="Times New Roman"/>
          <w:b/>
          <w:bCs/>
          <w:i/>
          <w:iCs/>
          <w:color w:val="000000"/>
          <w:lang w:eastAsia="hu-HU"/>
        </w:rPr>
        <w:t>a) </w:t>
      </w:r>
      <w:r w:rsidRPr="007B71AD">
        <w:rPr>
          <w:rFonts w:eastAsia="Times New Roman"/>
          <w:b/>
          <w:bCs/>
          <w:color w:val="000000"/>
          <w:lang w:eastAsia="hu-HU"/>
        </w:rPr>
        <w:t>a települési önkormányzat</w:t>
      </w:r>
    </w:p>
    <w:p w14:paraId="3E0DE925" w14:textId="7B978065" w:rsidR="007B71AD" w:rsidRPr="007B71AD" w:rsidRDefault="007B71AD" w:rsidP="007B71AD">
      <w:pPr>
        <w:shd w:val="clear" w:color="auto" w:fill="FFFFFF"/>
        <w:spacing w:after="0" w:line="240" w:lineRule="auto"/>
        <w:ind w:firstLine="238"/>
        <w:jc w:val="both"/>
        <w:rPr>
          <w:rFonts w:eastAsia="Times New Roman"/>
          <w:color w:val="000000"/>
          <w:lang w:eastAsia="hu-HU"/>
        </w:rPr>
      </w:pPr>
      <w:proofErr w:type="spellStart"/>
      <w:r w:rsidRPr="007B71AD">
        <w:rPr>
          <w:rFonts w:eastAsia="Times New Roman"/>
          <w:i/>
          <w:iCs/>
          <w:color w:val="000000"/>
          <w:lang w:eastAsia="hu-HU"/>
        </w:rPr>
        <w:t>aa</w:t>
      </w:r>
      <w:proofErr w:type="spellEnd"/>
      <w:r w:rsidRPr="007B71AD">
        <w:rPr>
          <w:rFonts w:eastAsia="Times New Roman"/>
          <w:i/>
          <w:iCs/>
          <w:color w:val="000000"/>
          <w:lang w:eastAsia="hu-HU"/>
        </w:rPr>
        <w:t>)</w:t>
      </w:r>
      <w:r w:rsidRPr="007B71AD">
        <w:rPr>
          <w:rFonts w:eastAsia="Times New Roman"/>
          <w:color w:val="000000"/>
          <w:lang w:eastAsia="hu-HU"/>
        </w:rPr>
        <w:t xml:space="preserve"> az általa fenntartott bölcsődében, mini bölcsődében és óvodában, továbbá</w:t>
      </w:r>
    </w:p>
    <w:p w14:paraId="36B5F766" w14:textId="03770D7F" w:rsidR="007B71AD" w:rsidRPr="007B71AD" w:rsidRDefault="007B71AD" w:rsidP="007B71AD">
      <w:pPr>
        <w:shd w:val="clear" w:color="auto" w:fill="FFFFFF"/>
        <w:spacing w:after="0" w:line="240" w:lineRule="auto"/>
        <w:ind w:firstLine="238"/>
        <w:jc w:val="both"/>
        <w:rPr>
          <w:rFonts w:eastAsia="Times New Roman"/>
          <w:color w:val="000000"/>
          <w:lang w:eastAsia="hu-HU"/>
        </w:rPr>
      </w:pPr>
      <w:r w:rsidRPr="007B71AD">
        <w:rPr>
          <w:rFonts w:eastAsia="Times New Roman"/>
          <w:i/>
          <w:iCs/>
          <w:color w:val="000000"/>
          <w:lang w:eastAsia="hu-HU"/>
        </w:rPr>
        <w:t>ab)</w:t>
      </w:r>
      <w:r w:rsidRPr="007B71AD">
        <w:rPr>
          <w:rFonts w:eastAsia="Times New Roman"/>
          <w:color w:val="000000"/>
          <w:lang w:eastAsia="hu-HU"/>
        </w:rPr>
        <w:t xml:space="preserve"> a közigazgatási területén a tankerületi központ, illetve a szakképzési centrum (e § alkalmazásában a továbbiakban együtt: köznevelési fenntartó) részeként működő nevelési-oktatási intézményben, illetve szakképző intézményben,</w:t>
      </w:r>
    </w:p>
    <w:p w14:paraId="7DE0DE6A" w14:textId="77777777" w:rsidR="007B71AD" w:rsidRPr="007B71AD" w:rsidRDefault="007B71AD" w:rsidP="007B71AD">
      <w:pPr>
        <w:shd w:val="clear" w:color="auto" w:fill="FFFFFF"/>
        <w:spacing w:after="0" w:line="240" w:lineRule="auto"/>
        <w:ind w:firstLine="238"/>
        <w:jc w:val="both"/>
        <w:rPr>
          <w:rFonts w:eastAsia="Times New Roman"/>
          <w:b/>
          <w:bCs/>
          <w:color w:val="000000"/>
          <w:lang w:eastAsia="hu-HU"/>
        </w:rPr>
      </w:pPr>
      <w:r w:rsidRPr="007B71AD">
        <w:rPr>
          <w:rFonts w:eastAsia="Times New Roman"/>
          <w:b/>
          <w:bCs/>
          <w:i/>
          <w:iCs/>
          <w:color w:val="000000"/>
          <w:lang w:eastAsia="hu-HU"/>
        </w:rPr>
        <w:t>b) </w:t>
      </w:r>
      <w:r w:rsidRPr="007B71AD">
        <w:rPr>
          <w:rFonts w:eastAsia="Times New Roman"/>
          <w:b/>
          <w:bCs/>
          <w:color w:val="000000"/>
          <w:lang w:eastAsia="hu-HU"/>
        </w:rPr>
        <w:t>az egyházi és a nem állami fenntartó az általa fenntartott nem bentlakásos intézményben,</w:t>
      </w:r>
    </w:p>
    <w:p w14:paraId="36C18AF5" w14:textId="77777777" w:rsidR="007B71AD" w:rsidRDefault="007B71AD" w:rsidP="007B71AD">
      <w:pPr>
        <w:shd w:val="clear" w:color="auto" w:fill="FFFFFF"/>
        <w:spacing w:after="0" w:line="240" w:lineRule="auto"/>
        <w:ind w:firstLine="238"/>
        <w:jc w:val="both"/>
        <w:rPr>
          <w:rFonts w:eastAsia="Times New Roman"/>
          <w:color w:val="000000"/>
          <w:lang w:eastAsia="hu-HU"/>
        </w:rPr>
      </w:pPr>
      <w:r w:rsidRPr="007B71AD">
        <w:rPr>
          <w:rFonts w:eastAsia="Times New Roman"/>
          <w:i/>
          <w:iCs/>
          <w:color w:val="000000"/>
          <w:lang w:eastAsia="hu-HU"/>
        </w:rPr>
        <w:t>c) </w:t>
      </w:r>
      <w:r w:rsidRPr="007B71AD">
        <w:rPr>
          <w:rFonts w:eastAsia="Times New Roman"/>
          <w:color w:val="000000"/>
          <w:lang w:eastAsia="hu-HU"/>
        </w:rPr>
        <w:t>a fenntartó az egyéb állami fenntartású nem bentlakásos intézményben.</w:t>
      </w:r>
    </w:p>
    <w:p w14:paraId="5049FE67" w14:textId="77777777" w:rsidR="007B71AD" w:rsidRDefault="007B71AD" w:rsidP="007B71AD">
      <w:pPr>
        <w:shd w:val="clear" w:color="auto" w:fill="FFFFFF"/>
        <w:spacing w:after="0" w:line="240" w:lineRule="auto"/>
        <w:ind w:firstLine="238"/>
        <w:jc w:val="both"/>
        <w:rPr>
          <w:rFonts w:eastAsia="Times New Roman"/>
          <w:color w:val="000000"/>
          <w:lang w:eastAsia="hu-HU"/>
        </w:rPr>
      </w:pPr>
    </w:p>
    <w:p w14:paraId="541C6549" w14:textId="3B06908C" w:rsidR="007B71AD" w:rsidRPr="007B71AD" w:rsidRDefault="007B71AD" w:rsidP="007B71AD">
      <w:pPr>
        <w:shd w:val="clear" w:color="auto" w:fill="FFFFFF"/>
        <w:spacing w:after="0" w:line="240" w:lineRule="auto"/>
        <w:ind w:firstLine="238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  <w:t>A fenti szabályozásból fakadóan Mohács Város Önkormányzata a Gyvt. szerinti gyermekétkeztetést kizárólag a Mohácsi telephelyű bölcsődében, családi bölcsődében és óvodák ellátott, valamint a Mohácsi Tankerületi Központ és a Baranya Megyei Szakképző Centrumban ellátott gyermekek számára köteles biztosítani. Nem tartozik az önkormányzat ellátási kötelezettségébe az egyházi fenntartású intézményekben ellátott gyermekek számára a gyermekétkeztetés biztosítása.</w:t>
      </w:r>
    </w:p>
    <w:p w14:paraId="232F8B26" w14:textId="77777777" w:rsidR="0064308E" w:rsidRDefault="0064308E" w:rsidP="0064308E">
      <w:pPr>
        <w:shd w:val="clear" w:color="auto" w:fill="FFFFFF"/>
        <w:spacing w:after="0" w:line="240" w:lineRule="auto"/>
        <w:jc w:val="both"/>
        <w:textAlignment w:val="baseline"/>
        <w:rPr>
          <w:shd w:val="clear" w:color="auto" w:fill="FFFFFF"/>
        </w:rPr>
      </w:pPr>
    </w:p>
    <w:p w14:paraId="103C5AB1" w14:textId="77777777" w:rsidR="0064308E" w:rsidRPr="0064308E" w:rsidRDefault="0064308E" w:rsidP="0064308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b/>
          <w:bCs/>
          <w:u w:val="single"/>
        </w:rPr>
      </w:pPr>
      <w:r w:rsidRPr="0064308E">
        <w:rPr>
          <w:b/>
          <w:bCs/>
          <w:u w:val="single"/>
          <w:shd w:val="clear" w:color="auto" w:fill="FFFFFF"/>
        </w:rPr>
        <w:t>Gyermekétkeztetés térítési díjkedvezmények</w:t>
      </w:r>
    </w:p>
    <w:p w14:paraId="4510656C" w14:textId="15664A48" w:rsidR="007B71AD" w:rsidRDefault="007B71AD" w:rsidP="0064308E">
      <w:pPr>
        <w:pStyle w:val="Listaszerbekezds"/>
        <w:shd w:val="clear" w:color="auto" w:fill="FFFFFF"/>
        <w:spacing w:after="0" w:line="240" w:lineRule="auto"/>
        <w:ind w:left="1080"/>
        <w:jc w:val="both"/>
        <w:textAlignment w:val="baseline"/>
      </w:pPr>
      <w:r w:rsidRPr="0064308E">
        <w:rPr>
          <w:shd w:val="clear" w:color="auto" w:fill="FFFFFF"/>
        </w:rPr>
        <w:t xml:space="preserve"> </w:t>
      </w:r>
      <w:hyperlink r:id="rId5" w:history="1"/>
    </w:p>
    <w:p w14:paraId="23BF3D95" w14:textId="5AA8031C" w:rsidR="0067372D" w:rsidRDefault="0064308E" w:rsidP="00673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A Gyvt. részletesen szabályozza,</w:t>
      </w:r>
      <w:r w:rsidR="00DA1D6F" w:rsidRPr="00DA1D6F">
        <w:rPr>
          <w:shd w:val="clear" w:color="auto" w:fill="FFFFFF"/>
        </w:rPr>
        <w:t xml:space="preserve"> hogy mely esetekben ingyenes vagy kedvezményes a bölcsődés és óvodás, illetve az általános iskolás gyermekek részére az intézményi gyermekétkeztetés</w:t>
      </w:r>
      <w:r>
        <w:rPr>
          <w:shd w:val="clear" w:color="auto" w:fill="FFFFFF"/>
        </w:rPr>
        <w:t xml:space="preserve"> a törvény erejénél fogva</w:t>
      </w:r>
      <w:r w:rsidR="00DA1D6F" w:rsidRPr="00DA1D6F">
        <w:rPr>
          <w:shd w:val="clear" w:color="auto" w:fill="FFFFFF"/>
        </w:rPr>
        <w:t>. Az ingyenes és kedvezményes étkezési lehetőséget a törvény mindig valamilyen szociális alapú feltételhez köti.</w:t>
      </w:r>
      <w:r w:rsidR="00DA1D6F">
        <w:rPr>
          <w:shd w:val="clear" w:color="auto" w:fill="FFFFFF"/>
        </w:rPr>
        <w:t xml:space="preserve"> </w:t>
      </w:r>
    </w:p>
    <w:p w14:paraId="22935D9D" w14:textId="41097AF7" w:rsidR="00DA1D6F" w:rsidRDefault="00DA1D6F" w:rsidP="00673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Fontos kiemelni, hogy eltérő jogosultsági kört állapít meg a törvény a bölcsődés és óvodás korú gyermekek étkeztetése esetén, illetve az iskolai oktatásban részesülő gyermekek esetén, az alábbiak szerint:</w:t>
      </w:r>
    </w:p>
    <w:p w14:paraId="2C9E8334" w14:textId="77777777" w:rsidR="00CA74E9" w:rsidRDefault="00CA74E9" w:rsidP="00DA1D6F">
      <w:pPr>
        <w:shd w:val="clear" w:color="auto" w:fill="FFFFFF"/>
        <w:spacing w:after="0" w:line="240" w:lineRule="auto"/>
        <w:jc w:val="both"/>
        <w:textAlignment w:val="baseline"/>
        <w:rPr>
          <w:shd w:val="clear" w:color="auto" w:fill="FFFFFF"/>
        </w:rPr>
      </w:pPr>
    </w:p>
    <w:p w14:paraId="1A58BC5C" w14:textId="32B24B51" w:rsidR="00DA1D6F" w:rsidRPr="00CA74E9" w:rsidRDefault="00DA1D6F" w:rsidP="0064308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b/>
          <w:bCs/>
          <w:u w:val="single"/>
          <w:shd w:val="clear" w:color="auto" w:fill="FFFFFF"/>
        </w:rPr>
      </w:pPr>
      <w:r w:rsidRPr="00CA74E9">
        <w:rPr>
          <w:b/>
          <w:bCs/>
          <w:u w:val="single"/>
          <w:shd w:val="clear" w:color="auto" w:fill="FFFFFF"/>
        </w:rPr>
        <w:t>Ingyenes étkeztetés</w:t>
      </w:r>
    </w:p>
    <w:p w14:paraId="23790A03" w14:textId="77777777" w:rsidR="00DA1D6F" w:rsidRPr="00DA1D6F" w:rsidRDefault="00DA1D6F" w:rsidP="00DA1D6F">
      <w:pPr>
        <w:pStyle w:val="Listaszerbekezds"/>
        <w:shd w:val="clear" w:color="auto" w:fill="FFFFFF"/>
        <w:spacing w:after="0" w:line="240" w:lineRule="auto"/>
        <w:ind w:left="1080"/>
        <w:jc w:val="both"/>
        <w:textAlignment w:val="baseline"/>
        <w:rPr>
          <w:shd w:val="clear" w:color="auto" w:fill="FFFFFF"/>
        </w:rPr>
      </w:pPr>
    </w:p>
    <w:p w14:paraId="4BB5AB53" w14:textId="7A8C264E" w:rsidR="00DA1D6F" w:rsidRDefault="00DA1D6F" w:rsidP="00DA1D6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03030"/>
          <w:u w:val="single"/>
          <w:lang w:eastAsia="hu-HU"/>
        </w:rPr>
      </w:pPr>
      <w:r>
        <w:rPr>
          <w:rFonts w:eastAsia="Times New Roman"/>
          <w:b/>
          <w:bCs/>
          <w:color w:val="303030"/>
          <w:u w:val="single"/>
          <w:lang w:eastAsia="hu-HU"/>
        </w:rPr>
        <w:t>I</w:t>
      </w:r>
      <w:r w:rsidR="0064308E">
        <w:rPr>
          <w:rFonts w:eastAsia="Times New Roman"/>
          <w:b/>
          <w:bCs/>
          <w:color w:val="303030"/>
          <w:u w:val="single"/>
          <w:lang w:eastAsia="hu-HU"/>
        </w:rPr>
        <w:t>II</w:t>
      </w:r>
      <w:r>
        <w:rPr>
          <w:rFonts w:eastAsia="Times New Roman"/>
          <w:b/>
          <w:bCs/>
          <w:color w:val="303030"/>
          <w:u w:val="single"/>
          <w:lang w:eastAsia="hu-HU"/>
        </w:rPr>
        <w:t xml:space="preserve">.1. </w:t>
      </w:r>
      <w:r w:rsidRPr="00DA1D6F">
        <w:rPr>
          <w:rFonts w:eastAsia="Times New Roman"/>
          <w:b/>
          <w:bCs/>
          <w:color w:val="303030"/>
          <w:u w:val="single"/>
          <w:lang w:eastAsia="hu-HU"/>
        </w:rPr>
        <w:t>Bölcsődés, óvodás gyermekeknél ingyenes az étkeztetés, ha</w:t>
      </w:r>
    </w:p>
    <w:p w14:paraId="4B2A535A" w14:textId="77777777" w:rsidR="00DA1D6F" w:rsidRPr="00DA1D6F" w:rsidRDefault="00DA1D6F" w:rsidP="00DA1D6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03030"/>
          <w:u w:val="single"/>
          <w:lang w:eastAsia="hu-HU"/>
        </w:rPr>
      </w:pPr>
    </w:p>
    <w:p w14:paraId="22994962" w14:textId="77777777" w:rsidR="00DA1D6F" w:rsidRDefault="00DA1D6F" w:rsidP="00236B7D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303030"/>
          <w:lang w:eastAsia="hu-HU"/>
        </w:rPr>
      </w:pPr>
      <w:r w:rsidRPr="00DA1D6F">
        <w:rPr>
          <w:rFonts w:eastAsia="Times New Roman"/>
          <w:color w:val="303030"/>
          <w:lang w:eastAsia="hu-HU"/>
        </w:rPr>
        <w:t>a gyerek rendszeres gyermekvédelmi kedvezményben részesül,</w:t>
      </w:r>
    </w:p>
    <w:p w14:paraId="605D96CE" w14:textId="77777777" w:rsidR="00DA1D6F" w:rsidRDefault="00DA1D6F" w:rsidP="0010444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303030"/>
          <w:lang w:eastAsia="hu-HU"/>
        </w:rPr>
      </w:pPr>
      <w:r w:rsidRPr="00DA1D6F">
        <w:rPr>
          <w:rFonts w:eastAsia="Times New Roman"/>
          <w:color w:val="303030"/>
          <w:lang w:eastAsia="hu-HU"/>
        </w:rPr>
        <w:t>tartósan beteg vagy fogyatékos, vagy ha olyan családban él, amelyben tartósan beteg vagy fogyatékos gyermeket nevelnek,</w:t>
      </w:r>
    </w:p>
    <w:p w14:paraId="6C0D81E5" w14:textId="77777777" w:rsidR="00DA1D6F" w:rsidRDefault="00DA1D6F" w:rsidP="008829D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303030"/>
          <w:lang w:eastAsia="hu-HU"/>
        </w:rPr>
      </w:pPr>
      <w:r w:rsidRPr="00DA1D6F">
        <w:rPr>
          <w:rFonts w:eastAsia="Times New Roman"/>
          <w:color w:val="303030"/>
          <w:lang w:eastAsia="hu-HU"/>
        </w:rPr>
        <w:t>olyan családban él, ahol 3 vagy több gyermeket nevelnek (nagycsaládosok),</w:t>
      </w:r>
    </w:p>
    <w:p w14:paraId="4DD9AC8E" w14:textId="77777777" w:rsidR="00DA1D6F" w:rsidRDefault="00DA1D6F" w:rsidP="00536FD5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303030"/>
          <w:lang w:eastAsia="hu-HU"/>
        </w:rPr>
      </w:pPr>
      <w:r w:rsidRPr="00DA1D6F">
        <w:rPr>
          <w:rFonts w:eastAsia="Times New Roman"/>
          <w:color w:val="303030"/>
          <w:lang w:eastAsia="hu-HU"/>
        </w:rPr>
        <w:t>olyan családban él, ahol az 1 főre jutó havi jövedelem nem haladja meg a kötelező legkisebb nettó munkabér 130%-át (ez az összeg 2024. január 1. napjától 230.649 Ft);</w:t>
      </w:r>
    </w:p>
    <w:p w14:paraId="18F134D2" w14:textId="260CA319" w:rsidR="00DA1D6F" w:rsidRPr="00DA1D6F" w:rsidRDefault="00DA1D6F" w:rsidP="00536FD5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303030"/>
          <w:lang w:eastAsia="hu-HU"/>
        </w:rPr>
      </w:pPr>
      <w:r w:rsidRPr="00DA1D6F">
        <w:rPr>
          <w:rFonts w:eastAsia="Times New Roman"/>
          <w:color w:val="303030"/>
          <w:lang w:eastAsia="hu-HU"/>
        </w:rPr>
        <w:t>a gyermeket nevelésbe vették.</w:t>
      </w:r>
    </w:p>
    <w:p w14:paraId="728800B0" w14:textId="77777777" w:rsidR="00DA1D6F" w:rsidRDefault="00DA1D6F" w:rsidP="00DA1D6F">
      <w:pPr>
        <w:shd w:val="clear" w:color="auto" w:fill="FFFFFF"/>
        <w:spacing w:after="0" w:line="240" w:lineRule="auto"/>
        <w:jc w:val="both"/>
        <w:rPr>
          <w:rFonts w:eastAsia="Times New Roman"/>
          <w:color w:val="303030"/>
          <w:lang w:eastAsia="hu-HU"/>
        </w:rPr>
      </w:pPr>
    </w:p>
    <w:p w14:paraId="6665AA26" w14:textId="6DA67612" w:rsidR="00DA1D6F" w:rsidRPr="00DA1D6F" w:rsidRDefault="00DA1D6F" w:rsidP="00DA1D6F">
      <w:pPr>
        <w:shd w:val="clear" w:color="auto" w:fill="FFFFFF"/>
        <w:spacing w:after="39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bCs/>
          <w:u w:val="single"/>
          <w:lang w:eastAsia="hu-HU"/>
        </w:rPr>
        <w:t>I</w:t>
      </w:r>
      <w:r w:rsidR="0064308E">
        <w:rPr>
          <w:rFonts w:eastAsia="Times New Roman"/>
          <w:b/>
          <w:bCs/>
          <w:u w:val="single"/>
          <w:lang w:eastAsia="hu-HU"/>
        </w:rPr>
        <w:t>II</w:t>
      </w:r>
      <w:r>
        <w:rPr>
          <w:rFonts w:eastAsia="Times New Roman"/>
          <w:b/>
          <w:bCs/>
          <w:u w:val="single"/>
          <w:lang w:eastAsia="hu-HU"/>
        </w:rPr>
        <w:t xml:space="preserve">.2. </w:t>
      </w:r>
      <w:r w:rsidRPr="00DA1D6F">
        <w:rPr>
          <w:rFonts w:eastAsia="Times New Roman"/>
          <w:b/>
          <w:bCs/>
          <w:u w:val="single"/>
          <w:lang w:eastAsia="hu-HU"/>
        </w:rPr>
        <w:t>Általános iskolás gyermekek (1-8. évfolyamon, nappali rendszerű iskolai oktatásban részt vevő tanulók) számára ingyenes az </w:t>
      </w:r>
      <w:hyperlink r:id="rId6" w:history="1">
        <w:r w:rsidRPr="00DA1D6F">
          <w:rPr>
            <w:rFonts w:eastAsia="Times New Roman"/>
            <w:b/>
            <w:bCs/>
            <w:u w:val="single"/>
            <w:lang w:eastAsia="hu-HU"/>
          </w:rPr>
          <w:t>étkeztetés</w:t>
        </w:r>
      </w:hyperlink>
      <w:r w:rsidRPr="00DA1D6F">
        <w:rPr>
          <w:rFonts w:eastAsia="Times New Roman"/>
          <w:lang w:eastAsia="hu-HU"/>
        </w:rPr>
        <w:t>, ha</w:t>
      </w:r>
    </w:p>
    <w:p w14:paraId="7DC9CE3D" w14:textId="260D483B" w:rsidR="00DA1D6F" w:rsidRPr="00DA1D6F" w:rsidRDefault="005F336E" w:rsidP="00DA1D6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hyperlink r:id="rId7" w:history="1">
        <w:r w:rsidR="00DA1D6F" w:rsidRPr="00DA1D6F">
          <w:rPr>
            <w:rFonts w:eastAsia="Times New Roman"/>
            <w:lang w:eastAsia="hu-HU"/>
          </w:rPr>
          <w:t>gyermekvédelmi kedvezmény</w:t>
        </w:r>
      </w:hyperlink>
      <w:r w:rsidR="00DA1D6F" w:rsidRPr="00DA1D6F">
        <w:rPr>
          <w:rFonts w:eastAsia="Times New Roman"/>
          <w:lang w:eastAsia="hu-HU"/>
        </w:rPr>
        <w:t>ben részesülnek</w:t>
      </w:r>
      <w:r w:rsidR="002A05E4">
        <w:rPr>
          <w:rFonts w:eastAsia="Times New Roman"/>
          <w:lang w:eastAsia="hu-HU"/>
        </w:rPr>
        <w:t>,</w:t>
      </w:r>
    </w:p>
    <w:p w14:paraId="41F9E382" w14:textId="0C78D649" w:rsidR="00DA1D6F" w:rsidRPr="00DA1D6F" w:rsidRDefault="00DA1D6F" w:rsidP="00DA1D6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DA1D6F">
        <w:rPr>
          <w:rFonts w:eastAsia="Times New Roman"/>
          <w:lang w:eastAsia="hu-HU"/>
        </w:rPr>
        <w:t>vagy nevelésbe vették őket</w:t>
      </w:r>
      <w:r w:rsidR="002A05E4">
        <w:rPr>
          <w:rFonts w:eastAsia="Times New Roman"/>
          <w:lang w:eastAsia="hu-HU"/>
        </w:rPr>
        <w:t>,</w:t>
      </w:r>
    </w:p>
    <w:p w14:paraId="2A99DB0E" w14:textId="2245DF2B" w:rsidR="00DA1D6F" w:rsidRPr="00DA1D6F" w:rsidRDefault="00DA1D6F" w:rsidP="00DA1D6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DA1D6F">
        <w:rPr>
          <w:rFonts w:eastAsia="Times New Roman"/>
          <w:lang w:eastAsia="hu-HU"/>
        </w:rPr>
        <w:t>Olyan gyermekek számára is jár, akiket fogyatékosok intézményében helyeztek el, illetve a már nem általános iskolás, de nappali tagozaton tanuló gyermekek számára, ha nevelésbe vették őket vagy utógondozói ellátásban részesülnek.</w:t>
      </w:r>
    </w:p>
    <w:p w14:paraId="24400413" w14:textId="77777777" w:rsidR="00DA1D6F" w:rsidRPr="00DA1D6F" w:rsidRDefault="00DA1D6F" w:rsidP="00DA1D6F">
      <w:pPr>
        <w:shd w:val="clear" w:color="auto" w:fill="FFFFFF"/>
        <w:spacing w:after="0" w:line="240" w:lineRule="auto"/>
        <w:jc w:val="both"/>
        <w:rPr>
          <w:rFonts w:eastAsia="Times New Roman"/>
          <w:color w:val="303030"/>
          <w:lang w:eastAsia="hu-HU"/>
        </w:rPr>
      </w:pPr>
    </w:p>
    <w:p w14:paraId="5BB05A11" w14:textId="27176DAA" w:rsidR="00DA1D6F" w:rsidRPr="00CA74E9" w:rsidRDefault="00CA74E9" w:rsidP="0064308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b/>
          <w:bCs/>
          <w:u w:val="single"/>
          <w:shd w:val="clear" w:color="auto" w:fill="FFFFFF"/>
        </w:rPr>
      </w:pPr>
      <w:r w:rsidRPr="00CA74E9">
        <w:rPr>
          <w:b/>
          <w:bCs/>
          <w:u w:val="single"/>
          <w:shd w:val="clear" w:color="auto" w:fill="FFFFFF"/>
        </w:rPr>
        <w:t>Gyermekétkeztetés féláron, azaz a térítési díj 50%-os támogatásával</w:t>
      </w:r>
    </w:p>
    <w:p w14:paraId="763172EB" w14:textId="77777777" w:rsidR="00CA74E9" w:rsidRDefault="00CA74E9" w:rsidP="00CA74E9">
      <w:pPr>
        <w:shd w:val="clear" w:color="auto" w:fill="FFFFFF"/>
        <w:spacing w:after="0" w:line="240" w:lineRule="auto"/>
        <w:jc w:val="both"/>
        <w:textAlignment w:val="baseline"/>
        <w:rPr>
          <w:shd w:val="clear" w:color="auto" w:fill="FFFFFF"/>
        </w:rPr>
      </w:pPr>
    </w:p>
    <w:p w14:paraId="1D614ABA" w14:textId="77777777" w:rsidR="00CA74E9" w:rsidRPr="00CA74E9" w:rsidRDefault="00CA74E9" w:rsidP="00CA74E9">
      <w:p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CA74E9">
        <w:rPr>
          <w:rFonts w:eastAsia="Times New Roman"/>
          <w:lang w:eastAsia="hu-HU"/>
        </w:rPr>
        <w:t>Az általános díjból 50%-os kedvezmény jár</w:t>
      </w:r>
    </w:p>
    <w:p w14:paraId="387C7C3D" w14:textId="34DBC090" w:rsidR="00CA74E9" w:rsidRPr="00CA74E9" w:rsidRDefault="00CA74E9" w:rsidP="00CA74E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CA74E9">
        <w:rPr>
          <w:rFonts w:eastAsia="Times New Roman"/>
          <w:lang w:eastAsia="hu-HU"/>
        </w:rPr>
        <w:t>az általános iskolás tanulmányokon felül nappali rendszerű iskolai oktatásban részt vevő tanuló számára, ha rendszeres gyermekvédelmi kedvezményben részesül;</w:t>
      </w:r>
    </w:p>
    <w:p w14:paraId="1AB7129E" w14:textId="673F1C51" w:rsidR="00CA74E9" w:rsidRPr="00CA74E9" w:rsidRDefault="00CA74E9" w:rsidP="00CA74E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CA74E9">
        <w:rPr>
          <w:rFonts w:eastAsia="Times New Roman"/>
          <w:lang w:eastAsia="hu-HU"/>
        </w:rPr>
        <w:t>az általános iskolás és ezen felüli évfolyamokban, nappali rendszerben tanuló gyermeknek, ha olyan családban él, amelyben három vagy több gyermeket nevelnek, feltéve, hogy a tanulónak az étkeztetés nem ingyenes;</w:t>
      </w:r>
    </w:p>
    <w:p w14:paraId="7C5204CC" w14:textId="59397E3D" w:rsidR="00CA74E9" w:rsidRDefault="00CA74E9" w:rsidP="00CA74E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CA74E9">
        <w:rPr>
          <w:rFonts w:eastAsia="Times New Roman"/>
          <w:lang w:eastAsia="hu-HU"/>
        </w:rPr>
        <w:t>a tartósan beteg vagy fogyatékos gyermek számára, ha részére az étkeztetés nem ingyenes.</w:t>
      </w:r>
    </w:p>
    <w:p w14:paraId="1BCC602D" w14:textId="77777777" w:rsidR="00CA74E9" w:rsidRPr="00CA74E9" w:rsidRDefault="00CA74E9" w:rsidP="002A05E4">
      <w:pPr>
        <w:pStyle w:val="Listaszerbekezds"/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</w:p>
    <w:p w14:paraId="718EF84C" w14:textId="77777777" w:rsidR="00CA74E9" w:rsidRDefault="00CA74E9" w:rsidP="00CA74E9">
      <w:p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CA74E9">
        <w:rPr>
          <w:rFonts w:eastAsia="Times New Roman"/>
          <w:lang w:eastAsia="hu-HU"/>
        </w:rPr>
        <w:t>A tanulónak az ingyenes, félárú étkezés addig jár, amíg a nappali tagozaton be nem fejezi a tanulmányait.</w:t>
      </w:r>
    </w:p>
    <w:p w14:paraId="2926A3E7" w14:textId="77777777" w:rsidR="00CA74E9" w:rsidRDefault="00CA74E9" w:rsidP="00CA74E9">
      <w:p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</w:p>
    <w:p w14:paraId="78B0E64D" w14:textId="5E8C357A" w:rsidR="00CA74E9" w:rsidRDefault="00CA74E9" w:rsidP="0064308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u w:val="single"/>
          <w:lang w:eastAsia="hu-HU"/>
        </w:rPr>
      </w:pPr>
      <w:r w:rsidRPr="00CA74E9">
        <w:rPr>
          <w:rFonts w:eastAsia="Times New Roman"/>
          <w:b/>
          <w:bCs/>
          <w:u w:val="single"/>
          <w:lang w:eastAsia="hu-HU"/>
        </w:rPr>
        <w:t xml:space="preserve">Mohács Város Önkormányzata által biztosított további térítési </w:t>
      </w:r>
      <w:proofErr w:type="gramStart"/>
      <w:r w:rsidRPr="00CA74E9">
        <w:rPr>
          <w:rFonts w:eastAsia="Times New Roman"/>
          <w:b/>
          <w:bCs/>
          <w:u w:val="single"/>
          <w:lang w:eastAsia="hu-HU"/>
        </w:rPr>
        <w:t>díj kedvezmény</w:t>
      </w:r>
      <w:proofErr w:type="gramEnd"/>
    </w:p>
    <w:p w14:paraId="2228A1A6" w14:textId="3EB8029C" w:rsidR="0067372D" w:rsidRDefault="00A316C6" w:rsidP="0067372D">
      <w:p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Mohács Város Önkormányzata az általa ellátottak számára, saját döntései alapján, és saját költségvetése terhére az alábbi – Gyvt.-ben biztosított törvényi kedvezményeken felüli - kedvezményeket/mentességeket biztosítja:</w:t>
      </w:r>
    </w:p>
    <w:p w14:paraId="6B74D2CE" w14:textId="77777777" w:rsidR="00A316C6" w:rsidRPr="00A316C6" w:rsidRDefault="00A316C6" w:rsidP="0067372D">
      <w:p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</w:p>
    <w:p w14:paraId="6E6D64B9" w14:textId="4794514F" w:rsidR="0067372D" w:rsidRDefault="0067372D" w:rsidP="0067372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u w:val="single"/>
          <w:lang w:eastAsia="hu-HU"/>
        </w:rPr>
      </w:pPr>
      <w:r>
        <w:rPr>
          <w:rFonts w:eastAsia="Times New Roman"/>
          <w:b/>
          <w:bCs/>
          <w:u w:val="single"/>
          <w:lang w:eastAsia="hu-HU"/>
        </w:rPr>
        <w:t>2023. március 1. napjától hatályos kedvezmények:</w:t>
      </w:r>
    </w:p>
    <w:p w14:paraId="2120F55F" w14:textId="77777777" w:rsidR="0067372D" w:rsidRPr="00770F12" w:rsidRDefault="0067372D" w:rsidP="0067372D">
      <w:pPr>
        <w:pStyle w:val="Szvegtrzs"/>
        <w:spacing w:before="240"/>
        <w:jc w:val="both"/>
        <w:rPr>
          <w:rFonts w:ascii="Times New Roman" w:hAnsi="Times New Roman"/>
          <w:b w:val="0"/>
          <w:i/>
          <w:iCs/>
          <w:szCs w:val="22"/>
        </w:rPr>
      </w:pPr>
      <w:r w:rsidRPr="00770F12">
        <w:rPr>
          <w:rFonts w:ascii="Times New Roman" w:hAnsi="Times New Roman"/>
          <w:b w:val="0"/>
          <w:i/>
          <w:iCs/>
          <w:szCs w:val="22"/>
        </w:rPr>
        <w:t xml:space="preserve">(Gyermekétkeztetés esetén a gyermek és a tanuló nappali oktatásban történő részvételéig a törvényes képviselő kérelmére az intézményi térítési díjat a </w:t>
      </w:r>
      <w:proofErr w:type="spellStart"/>
      <w:r w:rsidRPr="00770F12">
        <w:rPr>
          <w:rFonts w:ascii="Times New Roman" w:hAnsi="Times New Roman"/>
          <w:b w:val="0"/>
          <w:i/>
          <w:iCs/>
          <w:szCs w:val="22"/>
        </w:rPr>
        <w:t>Gyvt</w:t>
      </w:r>
      <w:proofErr w:type="spellEnd"/>
      <w:r w:rsidRPr="00770F12">
        <w:rPr>
          <w:rFonts w:ascii="Times New Roman" w:hAnsi="Times New Roman"/>
          <w:b w:val="0"/>
          <w:i/>
          <w:iCs/>
          <w:szCs w:val="22"/>
        </w:rPr>
        <w:t>-ben meghatározott esetkörökön túl)</w:t>
      </w:r>
    </w:p>
    <w:p w14:paraId="5745858A" w14:textId="77777777" w:rsidR="0067372D" w:rsidRDefault="0067372D" w:rsidP="0067372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u w:val="single"/>
          <w:lang w:eastAsia="hu-HU"/>
        </w:rPr>
      </w:pPr>
    </w:p>
    <w:p w14:paraId="7F276FFE" w14:textId="62507927" w:rsidR="0067372D" w:rsidRPr="00770F12" w:rsidRDefault="0067372D" w:rsidP="0067372D">
      <w:pPr>
        <w:pStyle w:val="Szvegtrzs"/>
        <w:ind w:left="580" w:hanging="560"/>
        <w:jc w:val="both"/>
        <w:rPr>
          <w:rFonts w:ascii="Times New Roman" w:hAnsi="Times New Roman"/>
          <w:b w:val="0"/>
          <w:szCs w:val="22"/>
        </w:rPr>
      </w:pPr>
      <w:r w:rsidRPr="00770F12">
        <w:rPr>
          <w:rFonts w:ascii="Times New Roman" w:hAnsi="Times New Roman"/>
          <w:b w:val="0"/>
          <w:i/>
          <w:iCs/>
          <w:szCs w:val="22"/>
        </w:rPr>
        <w:t>a)</w:t>
      </w:r>
      <w:r w:rsidRPr="00770F12">
        <w:rPr>
          <w:rFonts w:ascii="Times New Roman" w:hAnsi="Times New Roman"/>
          <w:b w:val="0"/>
          <w:szCs w:val="22"/>
        </w:rPr>
        <w:tab/>
        <w:t xml:space="preserve">mérsékelni kell (további) 50%-kal abban az esetben, ha a kérelmező családjában az 1 főre jutó jövedelem nem éri el a megállapítás időpontjában érvényes a szociális vetítési alap </w:t>
      </w:r>
      <w:r w:rsidR="000F7C02">
        <w:rPr>
          <w:rFonts w:ascii="Times New Roman" w:hAnsi="Times New Roman"/>
          <w:b w:val="0"/>
          <w:szCs w:val="22"/>
        </w:rPr>
        <w:t xml:space="preserve">(28.500 Ft/hó) </w:t>
      </w:r>
      <w:r w:rsidRPr="00770F12">
        <w:rPr>
          <w:rFonts w:ascii="Times New Roman" w:hAnsi="Times New Roman"/>
          <w:b w:val="0"/>
          <w:szCs w:val="22"/>
        </w:rPr>
        <w:t>havi összegének 80%-t</w:t>
      </w:r>
      <w:r w:rsidR="000F7C02">
        <w:rPr>
          <w:rFonts w:ascii="Times New Roman" w:hAnsi="Times New Roman"/>
          <w:b w:val="0"/>
          <w:szCs w:val="22"/>
        </w:rPr>
        <w:t xml:space="preserve"> (22.800 Ft-ot)</w:t>
      </w:r>
      <w:r w:rsidRPr="00770F12">
        <w:rPr>
          <w:rFonts w:ascii="Times New Roman" w:hAnsi="Times New Roman"/>
          <w:b w:val="0"/>
          <w:szCs w:val="22"/>
        </w:rPr>
        <w:t>,</w:t>
      </w:r>
    </w:p>
    <w:p w14:paraId="27006EB8" w14:textId="6F775985" w:rsidR="0067372D" w:rsidRDefault="0067372D" w:rsidP="0067372D">
      <w:pPr>
        <w:pStyle w:val="Szvegtrzs"/>
        <w:spacing w:after="240"/>
        <w:ind w:left="580" w:hanging="560"/>
        <w:jc w:val="both"/>
        <w:rPr>
          <w:rFonts w:ascii="Times New Roman" w:hAnsi="Times New Roman"/>
          <w:b w:val="0"/>
          <w:szCs w:val="22"/>
        </w:rPr>
      </w:pPr>
      <w:r w:rsidRPr="00770F12">
        <w:rPr>
          <w:rFonts w:ascii="Times New Roman" w:hAnsi="Times New Roman"/>
          <w:b w:val="0"/>
          <w:i/>
          <w:iCs/>
          <w:szCs w:val="22"/>
        </w:rPr>
        <w:t>b)</w:t>
      </w:r>
      <w:r w:rsidRPr="00770F12">
        <w:rPr>
          <w:rFonts w:ascii="Times New Roman" w:hAnsi="Times New Roman"/>
          <w:b w:val="0"/>
          <w:szCs w:val="22"/>
        </w:rPr>
        <w:tab/>
        <w:t xml:space="preserve">teljes egészében el kell engedni abban az esetben, ha a kérelmező családjában az 1 főre jutó jövedelem nem éri el a megállapítás időpontjában érvényes a szociális vetítési alap </w:t>
      </w:r>
      <w:r w:rsidR="000F7C02">
        <w:rPr>
          <w:rFonts w:ascii="Times New Roman" w:hAnsi="Times New Roman"/>
          <w:b w:val="0"/>
          <w:szCs w:val="22"/>
        </w:rPr>
        <w:t xml:space="preserve">(28.500 Ft/hó) </w:t>
      </w:r>
      <w:r w:rsidRPr="00770F12">
        <w:rPr>
          <w:rFonts w:ascii="Times New Roman" w:hAnsi="Times New Roman"/>
          <w:b w:val="0"/>
          <w:szCs w:val="22"/>
        </w:rPr>
        <w:t>havi összegének 40%-át</w:t>
      </w:r>
      <w:r w:rsidR="000F7C02">
        <w:rPr>
          <w:rFonts w:ascii="Times New Roman" w:hAnsi="Times New Roman"/>
          <w:b w:val="0"/>
          <w:szCs w:val="22"/>
        </w:rPr>
        <w:t xml:space="preserve"> (11.400 Ft-ot)</w:t>
      </w:r>
      <w:r w:rsidRPr="00770F12">
        <w:rPr>
          <w:rFonts w:ascii="Times New Roman" w:hAnsi="Times New Roman"/>
          <w:b w:val="0"/>
          <w:szCs w:val="22"/>
        </w:rPr>
        <w:t>.</w:t>
      </w:r>
    </w:p>
    <w:p w14:paraId="1D3B66E6" w14:textId="0A327C51" w:rsidR="0067372D" w:rsidRDefault="0067372D" w:rsidP="0067372D">
      <w:pPr>
        <w:pStyle w:val="Szvegtrzs"/>
        <w:spacing w:after="240"/>
        <w:ind w:left="580" w:hanging="56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2024. január 1. napjától hatályos további kedvezmény:</w:t>
      </w:r>
    </w:p>
    <w:p w14:paraId="4A360858" w14:textId="0D706ABC" w:rsidR="0067372D" w:rsidRDefault="0067372D" w:rsidP="0067372D">
      <w:pPr>
        <w:pStyle w:val="Szvegtrzs"/>
        <w:spacing w:before="240" w:after="240"/>
        <w:ind w:left="580" w:hanging="560"/>
        <w:jc w:val="both"/>
        <w:rPr>
          <w:rFonts w:ascii="Times New Roman" w:hAnsi="Times New Roman"/>
          <w:b w:val="0"/>
          <w:bCs/>
          <w:szCs w:val="22"/>
        </w:rPr>
      </w:pPr>
      <w:r w:rsidRPr="0067372D">
        <w:rPr>
          <w:rFonts w:ascii="Times New Roman" w:hAnsi="Times New Roman"/>
          <w:b w:val="0"/>
          <w:bCs/>
          <w:szCs w:val="22"/>
        </w:rPr>
        <w:t>„</w:t>
      </w:r>
      <w:r w:rsidRPr="0067372D">
        <w:rPr>
          <w:rFonts w:ascii="Times New Roman" w:hAnsi="Times New Roman"/>
          <w:b w:val="0"/>
          <w:bCs/>
          <w:i/>
          <w:iCs/>
          <w:szCs w:val="22"/>
        </w:rPr>
        <w:t>c)</w:t>
      </w:r>
      <w:r w:rsidRPr="0067372D">
        <w:rPr>
          <w:rFonts w:ascii="Times New Roman" w:hAnsi="Times New Roman"/>
          <w:b w:val="0"/>
          <w:bCs/>
          <w:szCs w:val="22"/>
        </w:rPr>
        <w:tab/>
        <w:t>teljes egészében el kell engedni abban az esetben, ha a gyermek olyan családban él, ahol négy vagy több gyermeket nevelnek.”</w:t>
      </w:r>
    </w:p>
    <w:p w14:paraId="79502649" w14:textId="0169E43C" w:rsidR="00A316C6" w:rsidRDefault="0067372D" w:rsidP="00A316C6">
      <w:pPr>
        <w:pStyle w:val="Szvegtrzs"/>
        <w:ind w:firstLine="580"/>
        <w:jc w:val="both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b w:val="0"/>
          <w:bCs/>
          <w:szCs w:val="22"/>
        </w:rPr>
        <w:t xml:space="preserve">Több olyan alaptalan vád érte </w:t>
      </w:r>
      <w:r w:rsidR="00D47923">
        <w:rPr>
          <w:rFonts w:ascii="Times New Roman" w:hAnsi="Times New Roman"/>
          <w:b w:val="0"/>
          <w:bCs/>
          <w:szCs w:val="22"/>
        </w:rPr>
        <w:t xml:space="preserve">a közelmúltban </w:t>
      </w:r>
      <w:r>
        <w:rPr>
          <w:rFonts w:ascii="Times New Roman" w:hAnsi="Times New Roman"/>
          <w:b w:val="0"/>
          <w:bCs/>
          <w:szCs w:val="22"/>
        </w:rPr>
        <w:t>a</w:t>
      </w:r>
      <w:r w:rsidR="00D47923">
        <w:rPr>
          <w:rFonts w:ascii="Times New Roman" w:hAnsi="Times New Roman"/>
          <w:b w:val="0"/>
          <w:bCs/>
          <w:szCs w:val="22"/>
        </w:rPr>
        <w:t xml:space="preserve">z önkormányzatot, </w:t>
      </w:r>
      <w:r w:rsidR="00A316C6">
        <w:rPr>
          <w:rFonts w:ascii="Times New Roman" w:hAnsi="Times New Roman"/>
          <w:b w:val="0"/>
          <w:bCs/>
          <w:szCs w:val="22"/>
        </w:rPr>
        <w:t>illetve annak, a gyermekétkeztetést végző intézményét egyfelől, hogy az egyházi fenntartású intézményekbe járó gyermekek szülei számára nem biztosítja az önkormányzati kedvezményeket, másfelől a négy vagy többgyermeket nevelők</w:t>
      </w:r>
      <w:r>
        <w:rPr>
          <w:rFonts w:ascii="Times New Roman" w:hAnsi="Times New Roman"/>
          <w:b w:val="0"/>
          <w:bCs/>
          <w:szCs w:val="22"/>
        </w:rPr>
        <w:t xml:space="preserve"> kedvezmény</w:t>
      </w:r>
      <w:r w:rsidR="00A316C6">
        <w:rPr>
          <w:rFonts w:ascii="Times New Roman" w:hAnsi="Times New Roman"/>
          <w:b w:val="0"/>
          <w:bCs/>
          <w:szCs w:val="22"/>
        </w:rPr>
        <w:t>e</w:t>
      </w:r>
      <w:r w:rsidR="00D47923">
        <w:rPr>
          <w:rFonts w:ascii="Times New Roman" w:hAnsi="Times New Roman"/>
          <w:b w:val="0"/>
          <w:bCs/>
          <w:szCs w:val="22"/>
        </w:rPr>
        <w:t xml:space="preserve"> </w:t>
      </w:r>
      <w:r>
        <w:rPr>
          <w:rFonts w:ascii="Times New Roman" w:hAnsi="Times New Roman"/>
          <w:b w:val="0"/>
          <w:bCs/>
          <w:szCs w:val="22"/>
        </w:rPr>
        <w:t>már korábban is létezett, akkor miért nem tudták a szülők igénybe venni</w:t>
      </w:r>
      <w:r w:rsidR="00D47923">
        <w:rPr>
          <w:rFonts w:ascii="Times New Roman" w:hAnsi="Times New Roman"/>
          <w:b w:val="0"/>
          <w:bCs/>
          <w:szCs w:val="22"/>
        </w:rPr>
        <w:t xml:space="preserve">. </w:t>
      </w:r>
    </w:p>
    <w:p w14:paraId="45A8FE0F" w14:textId="79F1C1FE" w:rsidR="0067372D" w:rsidRDefault="00D47923" w:rsidP="00A316C6">
      <w:pPr>
        <w:pStyle w:val="Szvegtrzs"/>
        <w:ind w:firstLine="708"/>
        <w:jc w:val="both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b w:val="0"/>
          <w:bCs/>
          <w:szCs w:val="22"/>
        </w:rPr>
        <w:t>A félreértések elkerülése, és a további alaptalan híresztelések és azok terjesztésének megelőzése érdekében</w:t>
      </w:r>
      <w:r w:rsidR="0067372D">
        <w:rPr>
          <w:rFonts w:ascii="Times New Roman" w:hAnsi="Times New Roman"/>
          <w:b w:val="0"/>
          <w:bCs/>
          <w:szCs w:val="22"/>
        </w:rPr>
        <w:t xml:space="preserve">, szükséges rögzíteni, hogy </w:t>
      </w:r>
      <w:r w:rsidR="00A316C6">
        <w:rPr>
          <w:rFonts w:ascii="Times New Roman" w:hAnsi="Times New Roman"/>
          <w:b w:val="0"/>
          <w:bCs/>
          <w:szCs w:val="22"/>
        </w:rPr>
        <w:t>egyfelől az önkormányzat, illetve annak intézménye az egyházi fenntartású intézményekben ellátott gyermekek vonatkozásában ellátási kötelezettséggel nem rendelk</w:t>
      </w:r>
      <w:r w:rsidR="0067372D">
        <w:rPr>
          <w:rFonts w:ascii="Times New Roman" w:hAnsi="Times New Roman"/>
          <w:b w:val="0"/>
          <w:bCs/>
          <w:szCs w:val="22"/>
        </w:rPr>
        <w:t>ez</w:t>
      </w:r>
      <w:r w:rsidR="00A316C6">
        <w:rPr>
          <w:rFonts w:ascii="Times New Roman" w:hAnsi="Times New Roman"/>
          <w:b w:val="0"/>
          <w:bCs/>
          <w:szCs w:val="22"/>
        </w:rPr>
        <w:t>ik, így esetükben térítési díj kedvezményt sem tud számukra biztosítani, másfelől</w:t>
      </w:r>
      <w:r w:rsidR="0067372D">
        <w:rPr>
          <w:rFonts w:ascii="Times New Roman" w:hAnsi="Times New Roman"/>
          <w:b w:val="0"/>
          <w:bCs/>
          <w:szCs w:val="22"/>
        </w:rPr>
        <w:t xml:space="preserve"> utóbbi </w:t>
      </w:r>
      <w:r w:rsidR="00A316C6">
        <w:rPr>
          <w:rFonts w:ascii="Times New Roman" w:hAnsi="Times New Roman"/>
          <w:b w:val="0"/>
          <w:bCs/>
          <w:szCs w:val="22"/>
        </w:rPr>
        <w:t xml:space="preserve">– családban négy vagy több, iskoláskorú gyermeket nevelők - </w:t>
      </w:r>
      <w:r w:rsidR="0067372D">
        <w:rPr>
          <w:rFonts w:ascii="Times New Roman" w:hAnsi="Times New Roman"/>
          <w:b w:val="0"/>
          <w:bCs/>
          <w:szCs w:val="22"/>
        </w:rPr>
        <w:t>kedvezmény</w:t>
      </w:r>
      <w:r w:rsidR="00A316C6">
        <w:rPr>
          <w:rFonts w:ascii="Times New Roman" w:hAnsi="Times New Roman"/>
          <w:b w:val="0"/>
          <w:bCs/>
          <w:szCs w:val="22"/>
        </w:rPr>
        <w:t>e</w:t>
      </w:r>
      <w:r w:rsidR="0067372D">
        <w:rPr>
          <w:rFonts w:ascii="Times New Roman" w:hAnsi="Times New Roman"/>
          <w:b w:val="0"/>
          <w:bCs/>
          <w:szCs w:val="22"/>
        </w:rPr>
        <w:t xml:space="preserve"> </w:t>
      </w:r>
      <w:r>
        <w:rPr>
          <w:rFonts w:ascii="Times New Roman" w:hAnsi="Times New Roman"/>
          <w:b w:val="0"/>
          <w:bCs/>
          <w:szCs w:val="22"/>
        </w:rPr>
        <w:t xml:space="preserve">SOHA korábban nem létezett, kizárólag a bölcsődés és óvodás korú gyermekek étkezési térítési díjának támogatásaként. </w:t>
      </w:r>
    </w:p>
    <w:p w14:paraId="4946A865" w14:textId="77777777" w:rsidR="00286929" w:rsidRDefault="00286929" w:rsidP="00A316C6">
      <w:pPr>
        <w:pStyle w:val="Szvegtrzs"/>
        <w:ind w:firstLine="708"/>
        <w:jc w:val="both"/>
        <w:rPr>
          <w:rFonts w:ascii="Times New Roman" w:hAnsi="Times New Roman"/>
          <w:b w:val="0"/>
          <w:bCs/>
          <w:szCs w:val="22"/>
        </w:rPr>
      </w:pPr>
    </w:p>
    <w:p w14:paraId="44B13AED" w14:textId="77777777" w:rsidR="00286929" w:rsidRDefault="00286929" w:rsidP="00A316C6">
      <w:pPr>
        <w:pStyle w:val="Szvegtrzs"/>
        <w:ind w:firstLine="708"/>
        <w:jc w:val="both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b w:val="0"/>
          <w:bCs/>
          <w:szCs w:val="22"/>
        </w:rPr>
        <w:tab/>
      </w:r>
      <w:r>
        <w:rPr>
          <w:rFonts w:ascii="Times New Roman" w:hAnsi="Times New Roman"/>
          <w:b w:val="0"/>
          <w:bCs/>
          <w:szCs w:val="22"/>
        </w:rPr>
        <w:tab/>
      </w:r>
      <w:r>
        <w:rPr>
          <w:rFonts w:ascii="Times New Roman" w:hAnsi="Times New Roman"/>
          <w:b w:val="0"/>
          <w:bCs/>
          <w:szCs w:val="22"/>
        </w:rPr>
        <w:tab/>
      </w:r>
      <w:r>
        <w:rPr>
          <w:rFonts w:ascii="Times New Roman" w:hAnsi="Times New Roman"/>
          <w:b w:val="0"/>
          <w:bCs/>
          <w:szCs w:val="22"/>
        </w:rPr>
        <w:tab/>
      </w:r>
      <w:r>
        <w:rPr>
          <w:rFonts w:ascii="Times New Roman" w:hAnsi="Times New Roman"/>
          <w:b w:val="0"/>
          <w:bCs/>
          <w:szCs w:val="22"/>
        </w:rPr>
        <w:tab/>
      </w:r>
    </w:p>
    <w:p w14:paraId="6B29B76D" w14:textId="19A93EB7" w:rsidR="00CA74E9" w:rsidRPr="00CA74E9" w:rsidRDefault="00286929" w:rsidP="00286929">
      <w:pPr>
        <w:pStyle w:val="Szvegtrzs"/>
        <w:ind w:left="4248" w:firstLine="708"/>
        <w:jc w:val="both"/>
        <w:rPr>
          <w:shd w:val="clear" w:color="auto" w:fill="FFFFFF"/>
        </w:rPr>
      </w:pPr>
      <w:r w:rsidRPr="00286929">
        <w:rPr>
          <w:rFonts w:ascii="Times New Roman" w:hAnsi="Times New Roman"/>
          <w:szCs w:val="22"/>
        </w:rPr>
        <w:t>MOHÁCS VÁROS ÖNKORMÁNYZATA</w:t>
      </w:r>
    </w:p>
    <w:p w14:paraId="2CC6C450" w14:textId="77777777" w:rsidR="00DA1D6F" w:rsidRDefault="00DA1D6F" w:rsidP="00DA1D6F">
      <w:pPr>
        <w:shd w:val="clear" w:color="auto" w:fill="FFFFFF"/>
        <w:spacing w:after="0" w:line="240" w:lineRule="auto"/>
        <w:textAlignment w:val="baseline"/>
        <w:rPr>
          <w:rFonts w:ascii="Inter" w:hAnsi="Inter"/>
          <w:color w:val="303030"/>
          <w:sz w:val="26"/>
          <w:szCs w:val="26"/>
          <w:shd w:val="clear" w:color="auto" w:fill="FFFFFF"/>
        </w:rPr>
      </w:pPr>
    </w:p>
    <w:sectPr w:rsidR="00DA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19EA"/>
    <w:multiLevelType w:val="hybridMultilevel"/>
    <w:tmpl w:val="D4B24EE6"/>
    <w:lvl w:ilvl="0" w:tplc="23CA6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A6C"/>
    <w:multiLevelType w:val="hybridMultilevel"/>
    <w:tmpl w:val="D0A02EE4"/>
    <w:lvl w:ilvl="0" w:tplc="3980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A0D31"/>
    <w:multiLevelType w:val="multilevel"/>
    <w:tmpl w:val="9AC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D61C8"/>
    <w:multiLevelType w:val="hybridMultilevel"/>
    <w:tmpl w:val="555E584C"/>
    <w:lvl w:ilvl="0" w:tplc="FD28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D12DF"/>
    <w:multiLevelType w:val="multilevel"/>
    <w:tmpl w:val="3006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B014C"/>
    <w:multiLevelType w:val="multilevel"/>
    <w:tmpl w:val="DBBE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142582">
    <w:abstractNumId w:val="2"/>
  </w:num>
  <w:num w:numId="2" w16cid:durableId="1633559842">
    <w:abstractNumId w:val="4"/>
  </w:num>
  <w:num w:numId="3" w16cid:durableId="1667901165">
    <w:abstractNumId w:val="0"/>
  </w:num>
  <w:num w:numId="4" w16cid:durableId="1426808131">
    <w:abstractNumId w:val="1"/>
  </w:num>
  <w:num w:numId="5" w16cid:durableId="1814325913">
    <w:abstractNumId w:val="5"/>
  </w:num>
  <w:num w:numId="6" w16cid:durableId="1247616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F"/>
    <w:rsid w:val="000760D6"/>
    <w:rsid w:val="000F7C02"/>
    <w:rsid w:val="00286929"/>
    <w:rsid w:val="002A05E4"/>
    <w:rsid w:val="005F336E"/>
    <w:rsid w:val="0064308E"/>
    <w:rsid w:val="0067372D"/>
    <w:rsid w:val="007B71AD"/>
    <w:rsid w:val="00A316C6"/>
    <w:rsid w:val="00CA74E9"/>
    <w:rsid w:val="00D47923"/>
    <w:rsid w:val="00D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51DB"/>
  <w15:chartTrackingRefBased/>
  <w15:docId w15:val="{1DBF980C-AA7D-4661-B46F-F7333BCF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DA1D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1D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A1D6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1D6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1D6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1D6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1D6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1D6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1D6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1D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DA1D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A1D6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1D6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1D6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1D6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1D6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1D6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1D6F"/>
    <w:rPr>
      <w:rFonts w:asciiTheme="minorHAnsi" w:eastAsiaTheme="majorEastAsia" w:hAnsiTheme="minorHAnsi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A1D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A1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A1D6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A1D6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A1D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A1D6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A1D6F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A1D6F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1D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1D6F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A1D6F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DA1D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1D6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A1D6F"/>
    <w:rPr>
      <w:color w:val="0000FF"/>
      <w:u w:val="single"/>
    </w:rPr>
  </w:style>
  <w:style w:type="paragraph" w:styleId="Szvegtrzs">
    <w:name w:val="Body Text"/>
    <w:basedOn w:val="Norml"/>
    <w:link w:val="SzvegtrzsChar"/>
    <w:rsid w:val="0067372D"/>
    <w:pPr>
      <w:spacing w:after="0" w:line="240" w:lineRule="auto"/>
      <w:jc w:val="center"/>
    </w:pPr>
    <w:rPr>
      <w:rFonts w:ascii="CG Times" w:eastAsia="Times New Roman" w:hAnsi="CG Times"/>
      <w:b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7372D"/>
    <w:rPr>
      <w:rFonts w:ascii="CG Times" w:eastAsia="Times New Roman" w:hAnsi="CG Times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1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5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942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94">
          <w:marLeft w:val="0"/>
          <w:marRight w:val="0"/>
          <w:marTop w:val="480"/>
          <w:marBottom w:val="480"/>
          <w:divBdr>
            <w:top w:val="none" w:sz="0" w:space="4" w:color="auto"/>
            <w:left w:val="single" w:sz="36" w:space="15" w:color="490849"/>
            <w:bottom w:val="none" w:sz="0" w:space="4" w:color="auto"/>
            <w:right w:val="none" w:sz="0" w:space="15" w:color="auto"/>
          </w:divBdr>
          <w:divsChild>
            <w:div w:id="1961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kezenfogva.hu/szolgaltatasok/23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vege.hu/sporolj/inflacio/2023/02/02/megfizethetetlen-lesz-a-gyerek-ebedje-dragul-a-kozetkeztetes/" TargetMode="External"/><Relationship Id="rId5" Type="http://schemas.openxmlformats.org/officeDocument/2006/relationships/hyperlink" Target="https://net.jogtar.hu/jogszabaly?docid=a1100328.k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5665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Mirella</dc:creator>
  <cp:keywords/>
  <dc:description/>
  <cp:lastModifiedBy>Tibor Breintenbach</cp:lastModifiedBy>
  <cp:revision>2</cp:revision>
  <dcterms:created xsi:type="dcterms:W3CDTF">2024-03-07T06:58:00Z</dcterms:created>
  <dcterms:modified xsi:type="dcterms:W3CDTF">2024-03-07T06:58:00Z</dcterms:modified>
</cp:coreProperties>
</file>